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940B3A">
        <w:rPr>
          <w:rFonts w:ascii="Calibri" w:hAnsi="Calibri" w:cs="Arial"/>
          <w:b/>
          <w:bCs/>
          <w:iCs/>
          <w:color w:val="7F7F7F" w:themeColor="text1" w:themeTint="80"/>
          <w:sz w:val="26"/>
          <w:szCs w:val="26"/>
        </w:rPr>
        <w:t>2</w:t>
      </w:r>
      <w:r w:rsidR="00B936CB">
        <w:rPr>
          <w:rFonts w:ascii="Calibri" w:hAnsi="Calibri" w:cs="Arial"/>
          <w:b/>
          <w:bCs/>
          <w:iCs/>
          <w:color w:val="7F7F7F" w:themeColor="text1" w:themeTint="80"/>
          <w:sz w:val="26"/>
          <w:szCs w:val="26"/>
        </w:rPr>
        <w:t>2</w:t>
      </w:r>
      <w:r w:rsidR="00940B3A">
        <w:rPr>
          <w:rFonts w:ascii="Calibri" w:hAnsi="Calibri" w:cs="Arial"/>
          <w:b/>
          <w:bCs/>
          <w:iCs/>
          <w:color w:val="7F7F7F" w:themeColor="text1" w:themeTint="80"/>
          <w:sz w:val="26"/>
          <w:szCs w:val="26"/>
        </w:rPr>
        <w:t xml:space="preserve"> veinti</w:t>
      </w:r>
      <w:r w:rsidR="00B936CB">
        <w:rPr>
          <w:rFonts w:ascii="Calibri" w:hAnsi="Calibri" w:cs="Arial"/>
          <w:b/>
          <w:bCs/>
          <w:iCs/>
          <w:color w:val="7F7F7F" w:themeColor="text1" w:themeTint="80"/>
          <w:sz w:val="26"/>
          <w:szCs w:val="26"/>
        </w:rPr>
        <w:t>dós</w:t>
      </w:r>
      <w:r w:rsidR="00940B3A">
        <w:rPr>
          <w:rFonts w:ascii="Calibri" w:hAnsi="Calibri" w:cs="Arial"/>
          <w:b/>
          <w:bCs/>
          <w:iCs/>
          <w:color w:val="7F7F7F" w:themeColor="text1" w:themeTint="80"/>
          <w:sz w:val="26"/>
          <w:szCs w:val="26"/>
        </w:rPr>
        <w:t xml:space="preserve"> de</w:t>
      </w:r>
      <w:r w:rsidR="006D41F4">
        <w:rPr>
          <w:rFonts w:ascii="Calibri" w:hAnsi="Calibri" w:cs="Arial"/>
          <w:b/>
          <w:bCs/>
          <w:iCs/>
          <w:color w:val="7F7F7F" w:themeColor="text1" w:themeTint="80"/>
          <w:sz w:val="26"/>
          <w:szCs w:val="26"/>
        </w:rPr>
        <w:t xml:space="preserv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940B3A">
        <w:rPr>
          <w:rFonts w:ascii="Calibri" w:hAnsi="Calibri" w:cs="Arial"/>
          <w:b/>
          <w:color w:val="7F7F7F" w:themeColor="text1" w:themeTint="80"/>
          <w:sz w:val="26"/>
          <w:szCs w:val="26"/>
        </w:rPr>
        <w:t>946/2015-JN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1726CB">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151972">
        <w:rPr>
          <w:rFonts w:ascii="Calibri" w:hAnsi="Calibri" w:cs="Arial"/>
          <w:color w:val="7F7F7F" w:themeColor="text1" w:themeTint="80"/>
          <w:sz w:val="26"/>
          <w:szCs w:val="26"/>
        </w:rPr>
        <w:t xml:space="preserve">.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940B3A">
        <w:rPr>
          <w:rFonts w:ascii="Calibri" w:hAnsi="Calibri" w:cs="Arial"/>
          <w:color w:val="7F7F7F" w:themeColor="text1" w:themeTint="80"/>
          <w:sz w:val="26"/>
          <w:szCs w:val="26"/>
        </w:rPr>
        <w:t>23 veintitrés de septiembre</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0451A5">
        <w:rPr>
          <w:rFonts w:ascii="Calibri" w:hAnsi="Calibri"/>
          <w:color w:val="7F7F7F" w:themeColor="text1" w:themeTint="80"/>
          <w:sz w:val="26"/>
          <w:szCs w:val="26"/>
        </w:rPr>
        <w:t xml:space="preserve"> </w:t>
      </w:r>
    </w:p>
    <w:p w:rsidR="004B3DFC" w:rsidRPr="00BF5CA7" w:rsidRDefault="004B3DFC" w:rsidP="004B3DFC">
      <w:pPr>
        <w:jc w:val="both"/>
        <w:rPr>
          <w:rFonts w:ascii="Calibri" w:hAnsi="Calibri"/>
          <w:b/>
          <w:i/>
          <w:iCs/>
          <w:color w:val="7F7F7F" w:themeColor="text1" w:themeTint="80"/>
          <w:sz w:val="26"/>
          <w:szCs w:val="26"/>
        </w:rPr>
      </w:pPr>
    </w:p>
    <w:p w:rsidR="000451A5" w:rsidRDefault="004B3DFC" w:rsidP="000451A5">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940B3A">
        <w:rPr>
          <w:rFonts w:ascii="Calibri" w:hAnsi="Calibri" w:cs="Calibri"/>
          <w:color w:val="7F7F7F" w:themeColor="text1" w:themeTint="80"/>
          <w:sz w:val="26"/>
          <w:szCs w:val="26"/>
        </w:rPr>
        <w:t>23 veintitrés 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940B3A">
        <w:rPr>
          <w:rFonts w:ascii="Calibri" w:hAnsi="Calibri"/>
          <w:color w:val="7F7F7F" w:themeColor="text1" w:themeTint="80"/>
          <w:sz w:val="26"/>
          <w:szCs w:val="26"/>
        </w:rPr>
        <w:t>0650</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w:t>
      </w:r>
    </w:p>
    <w:p w:rsidR="000451A5" w:rsidRDefault="000451A5" w:rsidP="000451A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946/2015-JN</w:t>
      </w:r>
    </w:p>
    <w:p w:rsidR="000451A5" w:rsidRDefault="000451A5" w:rsidP="000451A5">
      <w:pPr>
        <w:ind w:firstLine="708"/>
        <w:jc w:val="both"/>
        <w:rPr>
          <w:rFonts w:ascii="Calibri" w:hAnsi="Calibri"/>
          <w:color w:val="7F7F7F" w:themeColor="text1" w:themeTint="80"/>
          <w:sz w:val="26"/>
          <w:szCs w:val="26"/>
        </w:rPr>
      </w:pPr>
    </w:p>
    <w:p w:rsidR="004B3DFC" w:rsidRPr="000451A5" w:rsidRDefault="004B3DFC" w:rsidP="000451A5">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65370E">
        <w:rPr>
          <w:rFonts w:ascii="Calibri" w:hAnsi="Calibri"/>
          <w:color w:val="7F7F7F" w:themeColor="text1" w:themeTint="80"/>
          <w:sz w:val="26"/>
          <w:szCs w:val="26"/>
        </w:rPr>
        <w:t>que la dependencia a su cargo llevo a cabo las actuaciones relativas al expediente citado en líneas anteriores</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0451A5">
        <w:rPr>
          <w:rFonts w:ascii="Calibri" w:hAnsi="Calibri"/>
          <w:color w:val="7F7F7F" w:themeColor="text1" w:themeTint="80"/>
          <w:sz w:val="26"/>
          <w:szCs w:val="26"/>
        </w:rPr>
        <w:t xml:space="preserve">.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w:t>
      </w:r>
      <w:r w:rsidR="001F1478">
        <w:rPr>
          <w:rFonts w:ascii="Calibri" w:hAnsi="Calibri"/>
          <w:bCs/>
          <w:iCs/>
          <w:color w:val="7F7F7F" w:themeColor="text1" w:themeTint="80"/>
          <w:sz w:val="26"/>
          <w:szCs w:val="26"/>
        </w:rPr>
        <w:t>“</w:t>
      </w:r>
      <w:r w:rsidRPr="001F1478">
        <w:rPr>
          <w:rFonts w:ascii="Calibri" w:hAnsi="Calibri"/>
          <w:bCs/>
          <w:i/>
          <w:iCs/>
          <w:color w:val="7F7F7F" w:themeColor="text1" w:themeTint="80"/>
          <w:sz w:val="26"/>
          <w:szCs w:val="26"/>
        </w:rPr>
        <w:t>grosso modo</w:t>
      </w:r>
      <w:r w:rsidR="001F1478" w:rsidRPr="001F1478">
        <w:rPr>
          <w:rFonts w:ascii="Calibri" w:hAnsi="Calibri"/>
          <w:bCs/>
          <w:i/>
          <w:iCs/>
          <w:color w:val="7F7F7F" w:themeColor="text1" w:themeTint="80"/>
          <w:sz w:val="26"/>
          <w:szCs w:val="26"/>
        </w:rPr>
        <w:t>”</w:t>
      </w:r>
      <w:r w:rsidRPr="00781737">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1F1478">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781737" w:rsidRDefault="00781737" w:rsidP="001F1478">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940B3A">
        <w:rPr>
          <w:rFonts w:ascii="Calibri" w:hAnsi="Calibri"/>
          <w:bCs/>
          <w:iCs/>
          <w:color w:val="7F7F7F" w:themeColor="text1" w:themeTint="80"/>
          <w:sz w:val="26"/>
          <w:szCs w:val="26"/>
        </w:rPr>
        <w:t>0650</w:t>
      </w:r>
      <w:r w:rsidRPr="00781737">
        <w:rPr>
          <w:rFonts w:ascii="Calibri" w:hAnsi="Calibri"/>
          <w:bCs/>
          <w:iCs/>
          <w:color w:val="7F7F7F" w:themeColor="text1" w:themeTint="80"/>
          <w:sz w:val="26"/>
          <w:szCs w:val="26"/>
        </w:rPr>
        <w:t xml:space="preserve">/2015/JA, </w:t>
      </w:r>
      <w:r w:rsidR="006F6394" w:rsidRPr="006F6394">
        <w:rPr>
          <w:rFonts w:ascii="Calibri" w:hAnsi="Calibri"/>
          <w:bCs/>
          <w:iCs/>
          <w:color w:val="7F7F7F" w:themeColor="text1" w:themeTint="80"/>
          <w:sz w:val="26"/>
          <w:szCs w:val="26"/>
        </w:rPr>
        <w:t xml:space="preserve">mismo en el que, de acuerdo a la resolución (presentada por el Director demandado y palpable a foja </w:t>
      </w:r>
      <w:r w:rsidR="008B680B">
        <w:rPr>
          <w:rFonts w:ascii="Calibri" w:hAnsi="Calibri"/>
          <w:bCs/>
          <w:iCs/>
          <w:color w:val="7F7F7F" w:themeColor="text1" w:themeTint="80"/>
          <w:sz w:val="26"/>
          <w:szCs w:val="26"/>
        </w:rPr>
        <w:t>54 cincuenta y cuatro</w:t>
      </w:r>
      <w:r w:rsidR="006F6394">
        <w:rPr>
          <w:rFonts w:ascii="Calibri" w:hAnsi="Calibri"/>
          <w:bCs/>
          <w:iCs/>
          <w:color w:val="7F7F7F" w:themeColor="text1" w:themeTint="80"/>
          <w:sz w:val="26"/>
          <w:szCs w:val="26"/>
        </w:rPr>
        <w:t>)</w:t>
      </w:r>
      <w:r w:rsidR="006F6394" w:rsidRPr="006F6394">
        <w:rPr>
          <w:rFonts w:ascii="Calibri" w:hAnsi="Calibri"/>
          <w:bCs/>
          <w:iCs/>
          <w:color w:val="7F7F7F" w:themeColor="text1" w:themeTint="80"/>
          <w:sz w:val="26"/>
          <w:szCs w:val="26"/>
        </w:rPr>
        <w:t xml:space="preserve"> de fecha </w:t>
      </w:r>
      <w:r w:rsidR="008B680B">
        <w:rPr>
          <w:rFonts w:ascii="Calibri" w:hAnsi="Calibri"/>
          <w:bCs/>
          <w:iCs/>
          <w:color w:val="7F7F7F" w:themeColor="text1" w:themeTint="80"/>
          <w:sz w:val="26"/>
          <w:szCs w:val="26"/>
        </w:rPr>
        <w:t>28 veintiocho de septiembre</w:t>
      </w:r>
      <w:r w:rsidR="002258C5">
        <w:rPr>
          <w:rFonts w:ascii="Calibri" w:hAnsi="Calibri"/>
          <w:bCs/>
          <w:iCs/>
          <w:color w:val="7F7F7F" w:themeColor="text1" w:themeTint="80"/>
          <w:sz w:val="26"/>
          <w:szCs w:val="26"/>
        </w:rPr>
        <w:t xml:space="preserve"> </w:t>
      </w:r>
      <w:r w:rsidR="006F6394" w:rsidRPr="006F6394">
        <w:rPr>
          <w:rFonts w:ascii="Calibri" w:hAnsi="Calibri"/>
          <w:bCs/>
          <w:iCs/>
          <w:color w:val="7F7F7F" w:themeColor="text1" w:themeTint="80"/>
          <w:sz w:val="26"/>
          <w:szCs w:val="26"/>
        </w:rPr>
        <w:t>del año 2015 dos mil quince, se le impuso una sanción consistente en una multa, además de que se clausuró una máquina de juegos de azar que se encontraba al interior del establecimiento visitado, lo que sí afecta la esfera de derechos del actor, sobre todo porque se considera que pudiera existir violación al derecho humano al debido proceso; por lo que al no prosperar las causales de improcedencia señaladas, ésta sí se encuentra legitimada para promover el proceso que nos ocupa. . . . . . . . . . . . . . . .</w:t>
      </w:r>
      <w:r w:rsidR="001F1478">
        <w:rPr>
          <w:rFonts w:ascii="Calibri" w:hAnsi="Calibri"/>
          <w:bCs/>
          <w:iCs/>
          <w:color w:val="7F7F7F" w:themeColor="text1" w:themeTint="80"/>
          <w:sz w:val="26"/>
          <w:szCs w:val="26"/>
        </w:rPr>
        <w:t xml:space="preserve">  </w:t>
      </w:r>
    </w:p>
    <w:p w:rsidR="001F1478" w:rsidRPr="001F1478" w:rsidRDefault="001F1478" w:rsidP="001F1478">
      <w:pPr>
        <w:ind w:firstLine="708"/>
        <w:jc w:val="both"/>
        <w:rPr>
          <w:rFonts w:ascii="Calibri" w:hAnsi="Calibri"/>
          <w:bCs/>
          <w:iCs/>
          <w:color w:val="7F7F7F" w:themeColor="text1" w:themeTint="80"/>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1F1478">
        <w:rPr>
          <w:rFonts w:ascii="Calibri" w:hAnsi="Calibri" w:cs="Arial"/>
          <w:color w:val="7F7F7F" w:themeColor="text1" w:themeTint="80"/>
          <w:sz w:val="26"/>
          <w:szCs w:val="26"/>
        </w:rPr>
        <w:t>.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lastRenderedPageBreak/>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940B3A">
        <w:rPr>
          <w:rFonts w:ascii="Calibri" w:hAnsi="Calibri"/>
          <w:color w:val="7F7F7F" w:themeColor="text1" w:themeTint="80"/>
          <w:sz w:val="26"/>
          <w:szCs w:val="26"/>
        </w:rPr>
        <w:t>23 veintitrés de septiembre</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940B3A">
        <w:rPr>
          <w:rFonts w:ascii="Calibri" w:hAnsi="Calibri"/>
          <w:color w:val="7F7F7F" w:themeColor="text1" w:themeTint="80"/>
          <w:sz w:val="26"/>
          <w:szCs w:val="26"/>
        </w:rPr>
        <w:t>0650</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1726CB">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w:t>
      </w:r>
      <w:r w:rsidR="001726CB">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1F1478">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 xml:space="preserve">no </w:t>
      </w:r>
      <w:r w:rsidR="00BD2AAB">
        <w:rPr>
          <w:rFonts w:ascii="Calibri" w:hAnsi="Calibri" w:cs="Calibri"/>
          <w:iCs/>
          <w:color w:val="7F7F7F" w:themeColor="text1" w:themeTint="80"/>
          <w:sz w:val="26"/>
          <w:szCs w:val="26"/>
        </w:rPr>
        <w:t>está</w:t>
      </w:r>
      <w:r w:rsidR="00326B5D">
        <w:rPr>
          <w:rFonts w:ascii="Calibri" w:hAnsi="Calibri" w:cs="Calibri"/>
          <w:iCs/>
          <w:color w:val="7F7F7F" w:themeColor="text1" w:themeTint="80"/>
          <w:sz w:val="26"/>
          <w:szCs w:val="26"/>
        </w:rPr>
        <w:t xml:space="preserve"> en aptitud de negar los hechos, pues su indebido proceder y la falta de cumplimiento a la </w:t>
      </w:r>
      <w:r w:rsidR="001F1478">
        <w:rPr>
          <w:rFonts w:ascii="Calibri" w:hAnsi="Calibri" w:cs="Calibri"/>
          <w:iCs/>
          <w:color w:val="7F7F7F" w:themeColor="text1" w:themeTint="80"/>
          <w:sz w:val="26"/>
          <w:szCs w:val="26"/>
        </w:rPr>
        <w:t>normatividad es lo que motivó</w:t>
      </w:r>
      <w:r w:rsidR="00326B5D">
        <w:rPr>
          <w:rFonts w:ascii="Calibri" w:hAnsi="Calibri" w:cs="Calibri"/>
          <w:iCs/>
          <w:color w:val="7F7F7F" w:themeColor="text1" w:themeTint="80"/>
          <w:sz w:val="26"/>
          <w:szCs w:val="26"/>
        </w:rPr>
        <w:t xml:space="preserve"> la instauración del </w:t>
      </w:r>
      <w:proofErr w:type="gramStart"/>
      <w:r w:rsidR="00326B5D">
        <w:rPr>
          <w:rFonts w:ascii="Calibri" w:hAnsi="Calibri" w:cs="Calibri"/>
          <w:iCs/>
          <w:color w:val="7F7F7F" w:themeColor="text1" w:themeTint="80"/>
          <w:sz w:val="26"/>
          <w:szCs w:val="26"/>
        </w:rPr>
        <w:t>procedimiento</w:t>
      </w:r>
      <w:r w:rsidRPr="00BF5CA7">
        <w:rPr>
          <w:rFonts w:ascii="Calibri" w:hAnsi="Calibri" w:cs="Calibri"/>
          <w:iCs/>
          <w:color w:val="7F7F7F" w:themeColor="text1" w:themeTint="80"/>
          <w:sz w:val="26"/>
          <w:szCs w:val="26"/>
        </w:rPr>
        <w:t xml:space="preserve"> .</w:t>
      </w:r>
      <w:proofErr w:type="gramEnd"/>
      <w:r w:rsidRPr="00BF5CA7">
        <w:rPr>
          <w:rFonts w:ascii="Calibri" w:hAnsi="Calibri" w:cs="Calibri"/>
          <w:iCs/>
          <w:color w:val="7F7F7F" w:themeColor="text1" w:themeTint="80"/>
          <w:sz w:val="26"/>
          <w:szCs w:val="26"/>
        </w:rPr>
        <w:t xml:space="preserve"> . . . . . </w:t>
      </w:r>
      <w:r w:rsidR="001F1478">
        <w:rPr>
          <w:rFonts w:ascii="Calibri" w:hAnsi="Calibri" w:cs="Calibri"/>
          <w:iCs/>
          <w:color w:val="7F7F7F" w:themeColor="text1" w:themeTint="80"/>
          <w:sz w:val="26"/>
          <w:szCs w:val="26"/>
        </w:rPr>
        <w:t xml:space="preserve">.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1F1478"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940B3A">
        <w:rPr>
          <w:rFonts w:ascii="Calibri" w:hAnsi="Calibri"/>
          <w:color w:val="7F7F7F" w:themeColor="text1" w:themeTint="80"/>
          <w:sz w:val="26"/>
          <w:szCs w:val="26"/>
        </w:rPr>
        <w:t>23 veintitrés de septiembre</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940B3A">
        <w:rPr>
          <w:rFonts w:ascii="Calibri" w:hAnsi="Calibri"/>
          <w:color w:val="7F7F7F" w:themeColor="text1" w:themeTint="80"/>
          <w:sz w:val="26"/>
          <w:szCs w:val="26"/>
        </w:rPr>
        <w:t>0650</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w:t>
      </w:r>
    </w:p>
    <w:p w:rsidR="001F1478" w:rsidRDefault="001F1478" w:rsidP="001F147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946/2015-JN</w:t>
      </w:r>
    </w:p>
    <w:p w:rsidR="001F1478" w:rsidRDefault="001F1478" w:rsidP="004B3DFC">
      <w:pPr>
        <w:ind w:firstLine="708"/>
        <w:jc w:val="both"/>
        <w:rPr>
          <w:rFonts w:ascii="Calibri" w:hAnsi="Calibri"/>
          <w:color w:val="7F7F7F" w:themeColor="text1" w:themeTint="80"/>
          <w:sz w:val="26"/>
          <w:szCs w:val="26"/>
        </w:rPr>
      </w:pPr>
    </w:p>
    <w:p w:rsidR="004B3DFC" w:rsidRPr="00BF5CA7" w:rsidRDefault="004B3DFC" w:rsidP="001F1478">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del</w:t>
      </w:r>
      <w:proofErr w:type="gramEnd"/>
      <w:r w:rsidRPr="00BF5CA7">
        <w:rPr>
          <w:rFonts w:ascii="Calibri" w:hAnsi="Calibri"/>
          <w:color w:val="7F7F7F" w:themeColor="text1" w:themeTint="80"/>
          <w:sz w:val="26"/>
          <w:szCs w:val="26"/>
        </w:rPr>
        <w:t xml:space="preserve">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w:t>
      </w:r>
      <w:r w:rsidRPr="00BF5CA7">
        <w:rPr>
          <w:rFonts w:ascii="Calibri" w:hAnsi="Calibri" w:cs="Calibri"/>
          <w:color w:val="7F7F7F" w:themeColor="text1" w:themeTint="80"/>
          <w:sz w:val="26"/>
          <w:szCs w:val="26"/>
        </w:rPr>
        <w:lastRenderedPageBreak/>
        <w:t>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r w:rsidR="001F1478">
        <w:rPr>
          <w:rFonts w:ascii="Calibri" w:hAnsi="Calibri"/>
          <w:color w:val="7F7F7F" w:themeColor="text1" w:themeTint="80"/>
          <w:sz w:val="26"/>
          <w:szCs w:val="26"/>
        </w:rPr>
        <w:t xml:space="preserve">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r w:rsidR="001F1478">
        <w:rPr>
          <w:rFonts w:ascii="Calibri" w:hAnsi="Calibri"/>
          <w:color w:val="7F7F7F" w:themeColor="text1" w:themeTint="80"/>
          <w:sz w:val="26"/>
          <w:szCs w:val="26"/>
        </w:rPr>
        <w:t>.</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1F1478">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w:t>
      </w:r>
      <w:r w:rsidR="00CA2C14">
        <w:rPr>
          <w:rFonts w:ascii="Calibri" w:hAnsi="Calibri"/>
          <w:color w:val="7F7F7F" w:themeColor="text1" w:themeTint="80"/>
          <w:sz w:val="26"/>
          <w:szCs w:val="26"/>
        </w:rPr>
        <w:lastRenderedPageBreak/>
        <w:t xml:space="preserve">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E04A70">
        <w:rPr>
          <w:rFonts w:asciiTheme="minorHAnsi" w:hAnsiTheme="minorHAnsi"/>
          <w:color w:val="767171" w:themeColor="background2" w:themeShade="80"/>
          <w:sz w:val="26"/>
          <w:szCs w:val="26"/>
        </w:rPr>
        <w:t>. . . . . . . . .</w:t>
      </w:r>
    </w:p>
    <w:p w:rsidR="00DB641E" w:rsidRDefault="00DB641E" w:rsidP="00CA2C14">
      <w:pPr>
        <w:pStyle w:val="Default"/>
        <w:jc w:val="both"/>
        <w:rPr>
          <w:rFonts w:asciiTheme="minorHAnsi" w:hAnsiTheme="minorHAnsi"/>
          <w:color w:val="7F7F7F" w:themeColor="text1" w:themeTint="80"/>
          <w:sz w:val="26"/>
          <w:szCs w:val="26"/>
        </w:rPr>
      </w:pPr>
    </w:p>
    <w:p w:rsidR="00E04A70"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xml:space="preserve">, </w:t>
      </w:r>
    </w:p>
    <w:p w:rsidR="00E04A70" w:rsidRDefault="00E04A70" w:rsidP="00E04A7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946/2015-JN</w:t>
      </w:r>
    </w:p>
    <w:p w:rsidR="00E04A70" w:rsidRDefault="00E04A70" w:rsidP="00A8545F">
      <w:pPr>
        <w:pStyle w:val="Default"/>
        <w:ind w:firstLine="708"/>
        <w:jc w:val="both"/>
        <w:rPr>
          <w:rFonts w:ascii="Calibri" w:hAnsi="Calibri" w:cs="Calibri"/>
          <w:bCs/>
          <w:iCs/>
          <w:color w:val="767171" w:themeColor="background2" w:themeShade="80"/>
          <w:sz w:val="26"/>
          <w:szCs w:val="26"/>
        </w:rPr>
      </w:pPr>
    </w:p>
    <w:p w:rsidR="00833B37" w:rsidRDefault="00706056" w:rsidP="00E04A70">
      <w:pPr>
        <w:pStyle w:val="Default"/>
        <w:jc w:val="both"/>
        <w:rPr>
          <w:rFonts w:ascii="Calibri" w:hAnsi="Calibri" w:cs="Calibri"/>
          <w:b/>
          <w:color w:val="7F7F7F" w:themeColor="text1" w:themeTint="80"/>
          <w:sz w:val="26"/>
          <w:szCs w:val="26"/>
        </w:rPr>
      </w:pPr>
      <w:proofErr w:type="gramStart"/>
      <w:r w:rsidRPr="00833B37">
        <w:rPr>
          <w:rFonts w:ascii="Calibri" w:hAnsi="Calibri" w:cs="Calibri"/>
          <w:bCs/>
          <w:iCs/>
          <w:color w:val="767171" w:themeColor="background2" w:themeShade="80"/>
          <w:sz w:val="26"/>
          <w:szCs w:val="26"/>
        </w:rPr>
        <w:t>salvo</w:t>
      </w:r>
      <w:proofErr w:type="gramEnd"/>
      <w:r w:rsidRPr="00833B37">
        <w:rPr>
          <w:rFonts w:ascii="Calibri" w:hAnsi="Calibri" w:cs="Calibri"/>
          <w:bCs/>
          <w:iCs/>
          <w:color w:val="767171" w:themeColor="background2" w:themeShade="80"/>
          <w:sz w:val="26"/>
          <w:szCs w:val="26"/>
        </w:rPr>
        <w:t xml:space="preserve">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lastRenderedPageBreak/>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E04A70">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E04A70"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 xml:space="preserve">Por lo que hace a lo señalado por las autoridades demandadas en su escrito de contestación de demanda, </w:t>
      </w:r>
      <w:r w:rsidR="003938B9">
        <w:rPr>
          <w:rFonts w:ascii="Calibri" w:hAnsi="Calibri" w:cs="Calibri"/>
          <w:b w:val="0"/>
          <w:bCs w:val="0"/>
          <w:iCs/>
          <w:color w:val="7F7F7F" w:themeColor="text1" w:themeTint="80"/>
          <w:sz w:val="26"/>
          <w:szCs w:val="26"/>
          <w:lang w:val="es-MX"/>
        </w:rPr>
        <w:t xml:space="preserve">de </w:t>
      </w:r>
      <w:r w:rsidR="009E15DC" w:rsidRPr="00562A66">
        <w:rPr>
          <w:rFonts w:ascii="Calibri" w:hAnsi="Calibri" w:cs="Calibri"/>
          <w:b w:val="0"/>
          <w:bCs w:val="0"/>
          <w:iCs/>
          <w:color w:val="7F7F7F" w:themeColor="text1" w:themeTint="80"/>
          <w:sz w:val="26"/>
          <w:szCs w:val="26"/>
          <w:lang w:val="es-MX"/>
        </w:rPr>
        <w:t>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w:t>
      </w:r>
      <w:r w:rsidRPr="003938B9">
        <w:rPr>
          <w:rFonts w:asciiTheme="minorHAnsi" w:hAnsiTheme="minorHAnsi" w:cs="Arial"/>
          <w:color w:val="767171" w:themeColor="background2" w:themeShade="80"/>
          <w:sz w:val="26"/>
          <w:szCs w:val="26"/>
          <w:lang w:val="es-MX" w:eastAsia="en-US"/>
        </w:rPr>
        <w:t>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w:t>
      </w:r>
      <w:r w:rsidR="009A23DB">
        <w:rPr>
          <w:rFonts w:asciiTheme="minorHAnsi" w:hAnsiTheme="minorHAnsi" w:cs="Arial"/>
          <w:b w:val="0"/>
          <w:color w:val="767171" w:themeColor="background2" w:themeShade="80"/>
          <w:sz w:val="26"/>
          <w:szCs w:val="26"/>
          <w:lang w:val="es-MX"/>
        </w:rPr>
        <w:lastRenderedPageBreak/>
        <w:t>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9750F6" w:rsidRDefault="00343E70" w:rsidP="009750F6">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940B3A">
        <w:rPr>
          <w:rFonts w:ascii="Calibri" w:hAnsi="Calibri"/>
          <w:b/>
          <w:color w:val="7F7F7F" w:themeColor="text1" w:themeTint="80"/>
          <w:sz w:val="26"/>
          <w:szCs w:val="26"/>
        </w:rPr>
        <w:t xml:space="preserve">23 </w:t>
      </w:r>
      <w:r w:rsidR="00940B3A" w:rsidRPr="00252666">
        <w:rPr>
          <w:rFonts w:ascii="Calibri" w:hAnsi="Calibri"/>
          <w:color w:val="7F7F7F" w:themeColor="text1" w:themeTint="80"/>
          <w:sz w:val="26"/>
          <w:szCs w:val="26"/>
        </w:rPr>
        <w:t>veintitrés de</w:t>
      </w:r>
      <w:r w:rsidR="00940B3A">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940B3A">
        <w:rPr>
          <w:rFonts w:ascii="Calibri" w:hAnsi="Calibri"/>
          <w:b/>
          <w:color w:val="7F7F7F" w:themeColor="text1" w:themeTint="80"/>
          <w:sz w:val="26"/>
          <w:szCs w:val="26"/>
        </w:rPr>
        <w:t>0650</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9750F6">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9750F6" w:rsidRPr="00E41CB1">
        <w:rPr>
          <w:rFonts w:ascii="Calibri" w:hAnsi="Calibri"/>
          <w:bCs/>
          <w:color w:val="7F7F7F" w:themeColor="text1" w:themeTint="80"/>
          <w:sz w:val="26"/>
          <w:szCs w:val="26"/>
        </w:rPr>
        <w:t xml:space="preserve">y cualquier otro posterior, como lo sería la </w:t>
      </w:r>
      <w:r w:rsidR="009750F6" w:rsidRPr="009750F6">
        <w:rPr>
          <w:rFonts w:ascii="Calibri" w:hAnsi="Calibri"/>
          <w:b/>
          <w:bCs/>
          <w:color w:val="7F7F7F" w:themeColor="text1" w:themeTint="80"/>
          <w:sz w:val="26"/>
          <w:szCs w:val="26"/>
        </w:rPr>
        <w:t>resolució</w:t>
      </w:r>
      <w:r w:rsidR="009750F6" w:rsidRPr="00E41CB1">
        <w:rPr>
          <w:rFonts w:ascii="Calibri" w:hAnsi="Calibri"/>
          <w:bCs/>
          <w:color w:val="7F7F7F" w:themeColor="text1" w:themeTint="80"/>
          <w:sz w:val="26"/>
          <w:szCs w:val="26"/>
        </w:rPr>
        <w:t xml:space="preserve">n de fecha </w:t>
      </w:r>
      <w:r w:rsidR="00252666">
        <w:rPr>
          <w:rFonts w:ascii="Calibri" w:hAnsi="Calibri"/>
          <w:b/>
          <w:bCs/>
          <w:color w:val="7F7F7F" w:themeColor="text1" w:themeTint="80"/>
          <w:sz w:val="26"/>
          <w:szCs w:val="26"/>
        </w:rPr>
        <w:t>28</w:t>
      </w:r>
      <w:r w:rsidR="009750F6">
        <w:rPr>
          <w:rFonts w:ascii="Calibri" w:hAnsi="Calibri"/>
          <w:bCs/>
          <w:color w:val="7F7F7F" w:themeColor="text1" w:themeTint="80"/>
          <w:sz w:val="26"/>
          <w:szCs w:val="26"/>
        </w:rPr>
        <w:t xml:space="preserve"> </w:t>
      </w:r>
      <w:r w:rsidR="00252666">
        <w:rPr>
          <w:rFonts w:ascii="Calibri" w:hAnsi="Calibri"/>
          <w:bCs/>
          <w:color w:val="7F7F7F" w:themeColor="text1" w:themeTint="80"/>
          <w:sz w:val="26"/>
          <w:szCs w:val="26"/>
        </w:rPr>
        <w:t>veintiocho</w:t>
      </w:r>
      <w:r w:rsidR="009750F6">
        <w:rPr>
          <w:rFonts w:ascii="Calibri" w:hAnsi="Calibri"/>
          <w:bCs/>
          <w:color w:val="7F7F7F" w:themeColor="text1" w:themeTint="80"/>
          <w:sz w:val="26"/>
          <w:szCs w:val="26"/>
        </w:rPr>
        <w:t xml:space="preserve"> de </w:t>
      </w:r>
      <w:r w:rsidR="00252666">
        <w:rPr>
          <w:rFonts w:ascii="Calibri" w:hAnsi="Calibri"/>
          <w:b/>
          <w:bCs/>
          <w:color w:val="7F7F7F" w:themeColor="text1" w:themeTint="80"/>
          <w:sz w:val="26"/>
          <w:szCs w:val="26"/>
        </w:rPr>
        <w:t>septiembre</w:t>
      </w:r>
      <w:r w:rsidR="009750F6" w:rsidRPr="00E41CB1">
        <w:rPr>
          <w:rFonts w:ascii="Calibri" w:hAnsi="Calibri"/>
          <w:bCs/>
          <w:color w:val="7F7F7F" w:themeColor="text1" w:themeTint="80"/>
          <w:sz w:val="26"/>
          <w:szCs w:val="26"/>
        </w:rPr>
        <w:t xml:space="preserve"> del mismo año </w:t>
      </w:r>
      <w:r w:rsidR="009750F6" w:rsidRPr="009750F6">
        <w:rPr>
          <w:rFonts w:ascii="Calibri" w:hAnsi="Calibri"/>
          <w:b/>
          <w:bCs/>
          <w:color w:val="7F7F7F" w:themeColor="text1" w:themeTint="80"/>
          <w:sz w:val="26"/>
          <w:szCs w:val="26"/>
        </w:rPr>
        <w:t>2015</w:t>
      </w:r>
      <w:r w:rsidR="003938B9">
        <w:rPr>
          <w:rFonts w:ascii="Calibri" w:hAnsi="Calibri"/>
          <w:bCs/>
          <w:color w:val="7F7F7F" w:themeColor="text1" w:themeTint="80"/>
          <w:sz w:val="26"/>
          <w:szCs w:val="26"/>
        </w:rPr>
        <w:t xml:space="preserve"> dos mil quince;</w:t>
      </w:r>
      <w:r w:rsidR="009750F6" w:rsidRPr="00E41CB1">
        <w:rPr>
          <w:rFonts w:ascii="Calibri" w:hAnsi="Calibri"/>
          <w:bCs/>
          <w:color w:val="7F7F7F" w:themeColor="text1" w:themeTint="80"/>
          <w:sz w:val="26"/>
          <w:szCs w:val="26"/>
        </w:rPr>
        <w:t xml:space="preserve"> al tener, como ya se dijo, su sustento y ser consecuencia de una orden de visita emitida de manera </w:t>
      </w:r>
      <w:r w:rsidR="009750F6">
        <w:rPr>
          <w:rFonts w:ascii="Calibri" w:hAnsi="Calibri"/>
          <w:color w:val="7F7F7F" w:themeColor="text1" w:themeTint="80"/>
          <w:sz w:val="26"/>
          <w:szCs w:val="27"/>
        </w:rPr>
        <w:t>ilega</w:t>
      </w:r>
      <w:r w:rsidR="00FA04C4" w:rsidRPr="00F9490B">
        <w:rPr>
          <w:rFonts w:ascii="Calibri" w:hAnsi="Calibri"/>
          <w:color w:val="7F7F7F" w:themeColor="text1" w:themeTint="80"/>
          <w:sz w:val="26"/>
          <w:szCs w:val="27"/>
        </w:rPr>
        <w:t>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3938B9">
        <w:rPr>
          <w:rFonts w:ascii="Calibri" w:hAnsi="Calibri"/>
          <w:color w:val="7F7F7F" w:themeColor="text1" w:themeTint="80"/>
          <w:sz w:val="26"/>
          <w:szCs w:val="27"/>
        </w:rPr>
        <w:t xml:space="preserve">. . . . .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3938B9">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C022E6">
        <w:rPr>
          <w:rFonts w:ascii="Calibri" w:hAnsi="Calibri"/>
          <w:color w:val="7F7F7F" w:themeColor="text1" w:themeTint="80"/>
          <w:sz w:val="26"/>
          <w:szCs w:val="26"/>
          <w:lang w:eastAsia="es-MX"/>
        </w:rPr>
        <w:t xml:space="preserve">. .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C022E6">
        <w:rPr>
          <w:rFonts w:ascii="Calibri" w:hAnsi="Calibri"/>
          <w:color w:val="7F7F7F" w:themeColor="text1" w:themeTint="80"/>
          <w:sz w:val="22"/>
          <w:szCs w:val="26"/>
          <w:lang w:val="es-MX" w:eastAsia="es-MX"/>
        </w:rPr>
        <w:t>.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C022E6" w:rsidRDefault="00F54858" w:rsidP="00A32EE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w:t>
      </w:r>
      <w:r w:rsidR="00A32EE2" w:rsidRPr="00A32EE2">
        <w:rPr>
          <w:rFonts w:ascii="Calibri" w:hAnsi="Calibri" w:cs="Arial"/>
          <w:color w:val="7F7F7F" w:themeColor="text1" w:themeTint="80"/>
          <w:sz w:val="26"/>
          <w:szCs w:val="26"/>
        </w:rPr>
        <w:lastRenderedPageBreak/>
        <w:t xml:space="preserve">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w:t>
      </w:r>
    </w:p>
    <w:p w:rsidR="00C022E6" w:rsidRDefault="00C022E6" w:rsidP="00C022E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946/2015-JN</w:t>
      </w:r>
    </w:p>
    <w:p w:rsidR="00C022E6" w:rsidRDefault="00C022E6" w:rsidP="00A32EE2">
      <w:pPr>
        <w:pStyle w:val="Textoindependiente"/>
        <w:ind w:firstLine="708"/>
        <w:rPr>
          <w:rFonts w:ascii="Calibri" w:hAnsi="Calibri" w:cs="Arial"/>
          <w:color w:val="7F7F7F" w:themeColor="text1" w:themeTint="80"/>
          <w:sz w:val="26"/>
          <w:szCs w:val="26"/>
        </w:rPr>
      </w:pPr>
    </w:p>
    <w:p w:rsidR="00A32EE2" w:rsidRDefault="00A32EE2" w:rsidP="00C022E6">
      <w:pPr>
        <w:pStyle w:val="Textoindependiente"/>
        <w:ind w:firstLine="708"/>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del acta de inspección, los hechos y nombre </w:t>
      </w:r>
      <w:r>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 xml:space="preserve">y la fecha de ese mandamiento, están </w:t>
      </w:r>
      <w:r w:rsidRPr="006B0FF3">
        <w:rPr>
          <w:rFonts w:ascii="Calibri" w:hAnsi="Calibri" w:cs="Arial"/>
          <w:b/>
          <w:color w:val="7F7F7F" w:themeColor="text1" w:themeTint="80"/>
          <w:sz w:val="26"/>
          <w:szCs w:val="26"/>
        </w:rPr>
        <w:t>escritos en letra manuscrita</w:t>
      </w:r>
      <w:r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Pr>
          <w:rFonts w:ascii="Calibri" w:hAnsi="Calibri" w:cs="Arial"/>
          <w:color w:val="7F7F7F" w:themeColor="text1" w:themeTint="80"/>
          <w:sz w:val="26"/>
          <w:szCs w:val="26"/>
        </w:rPr>
        <w:t xml:space="preserve">; </w:t>
      </w:r>
      <w:r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CD035B" w:rsidRDefault="00CD035B" w:rsidP="009A23DB">
      <w:pPr>
        <w:pStyle w:val="Textoindependiente"/>
        <w:rPr>
          <w:rFonts w:ascii="Calibri" w:hAnsi="Calibri" w:cs="Arial"/>
          <w:color w:val="7F7F7F" w:themeColor="text1" w:themeTint="80"/>
          <w:sz w:val="26"/>
          <w:szCs w:val="26"/>
        </w:rPr>
      </w:pPr>
    </w:p>
    <w:p w:rsidR="00CD035B" w:rsidRPr="007D6748" w:rsidRDefault="00CD035B" w:rsidP="00CD035B">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r w:rsidR="002A4002">
        <w:rPr>
          <w:rFonts w:ascii="Calibri" w:hAnsi="Calibri" w:cs="Arial"/>
          <w:color w:val="7F7F7F" w:themeColor="text1" w:themeTint="80"/>
          <w:sz w:val="26"/>
          <w:szCs w:val="26"/>
        </w:rPr>
        <w:t>. . . . . . . . . . . . . . . . . . . . . . . . . . . . . . . . . . . . . . . . . .</w:t>
      </w:r>
    </w:p>
    <w:p w:rsidR="00CD035B" w:rsidRPr="00207C8E" w:rsidRDefault="00CD035B" w:rsidP="00CD035B">
      <w:pPr>
        <w:pStyle w:val="Textoindependiente"/>
        <w:rPr>
          <w:rFonts w:ascii="Calibri" w:hAnsi="Calibri"/>
          <w:color w:val="000000" w:themeColor="text1"/>
          <w:sz w:val="26"/>
          <w:szCs w:val="26"/>
          <w:lang w:eastAsia="es-MX"/>
        </w:rPr>
      </w:pPr>
    </w:p>
    <w:p w:rsidR="00CD035B" w:rsidRPr="002D241B" w:rsidRDefault="00CD035B" w:rsidP="0042303A">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a).- Tocante a la excepción de </w:t>
      </w:r>
      <w:r w:rsidRPr="00267952">
        <w:rPr>
          <w:rFonts w:ascii="Calibri" w:hAnsi="Calibri" w:cs="Arial"/>
          <w:i/>
          <w:color w:val="7F7F7F" w:themeColor="text1" w:themeTint="80"/>
          <w:sz w:val="26"/>
          <w:szCs w:val="26"/>
        </w:rPr>
        <w:t>“Improcedencia”</w:t>
      </w:r>
      <w:r w:rsidRPr="002D241B">
        <w:rPr>
          <w:rFonts w:ascii="Calibri" w:hAnsi="Calibri" w:cs="Arial"/>
          <w:color w:val="7F7F7F" w:themeColor="text1" w:themeTint="80"/>
          <w:sz w:val="26"/>
          <w:szCs w:val="26"/>
        </w:rPr>
        <w:t>, no opera la misma, pues de acuerdo a lo razonado en el considerando Cuarto quedó plenamente establecida la procedencia del presente proceso. . . . . . . . . . . . . . . . . . . . . . . . . . . .</w:t>
      </w:r>
      <w:r w:rsidR="00267952">
        <w:rPr>
          <w:rFonts w:ascii="Calibri" w:hAnsi="Calibri" w:cs="Arial"/>
          <w:color w:val="7F7F7F" w:themeColor="text1" w:themeTint="80"/>
          <w:sz w:val="26"/>
          <w:szCs w:val="26"/>
        </w:rPr>
        <w:t xml:space="preserve">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42303A">
      <w:pPr>
        <w:pStyle w:val="Textoindependiente"/>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ab/>
        <w:t xml:space="preserve">b).- En cuanto a la excepción de </w:t>
      </w:r>
      <w:r w:rsidRPr="0042303A">
        <w:rPr>
          <w:rFonts w:ascii="Calibri" w:hAnsi="Calibri" w:cs="Arial"/>
          <w:i/>
          <w:color w:val="7F7F7F" w:themeColor="text1" w:themeTint="80"/>
          <w:sz w:val="26"/>
          <w:szCs w:val="26"/>
        </w:rPr>
        <w:t>“Falta de Acción y Carencia de Derecho”</w:t>
      </w:r>
      <w:r w:rsidRPr="002D241B">
        <w:rPr>
          <w:rFonts w:ascii="Calibri" w:hAnsi="Calibri" w:cs="Arial"/>
          <w:color w:val="7F7F7F" w:themeColor="text1" w:themeTint="80"/>
          <w:sz w:val="26"/>
          <w:szCs w:val="26"/>
        </w:rPr>
        <w:t xml:space="preserve">, tampoco opera como excepción, pues está claro que el ciudadano </w:t>
      </w:r>
      <w:r w:rsidR="001726CB">
        <w:rPr>
          <w:rFonts w:ascii="Calibri" w:hAnsi="Calibri" w:cs="Arial"/>
          <w:color w:val="7F7F7F" w:themeColor="text1" w:themeTint="80"/>
          <w:sz w:val="26"/>
          <w:szCs w:val="26"/>
        </w:rPr>
        <w:t>*****</w:t>
      </w:r>
      <w:r w:rsidR="0042303A">
        <w:rPr>
          <w:rFonts w:ascii="Calibri" w:hAnsi="Calibri" w:cs="Arial"/>
          <w:color w:val="7F7F7F" w:themeColor="text1" w:themeTint="80"/>
          <w:sz w:val="26"/>
          <w:szCs w:val="26"/>
        </w:rPr>
        <w:t>,</w:t>
      </w:r>
      <w:r w:rsidRPr="002D241B">
        <w:rPr>
          <w:rFonts w:ascii="Calibri" w:hAnsi="Calibri" w:cs="Arial"/>
          <w:color w:val="7F7F7F" w:themeColor="text1" w:themeTint="80"/>
          <w:sz w:val="26"/>
          <w:szCs w:val="26"/>
        </w:rPr>
        <w:t xml:space="preserve"> al ser afectado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w:t>
      </w:r>
      <w:r w:rsidRPr="002D241B">
        <w:rPr>
          <w:rFonts w:ascii="Calibri" w:hAnsi="Calibri" w:cs="Arial"/>
          <w:color w:val="7F7F7F" w:themeColor="text1" w:themeTint="80"/>
          <w:sz w:val="26"/>
          <w:szCs w:val="26"/>
        </w:rPr>
        <w:lastRenderedPageBreak/>
        <w:t>Interés Jurídico que si existe tal como quedo precisado en el considerando Cuarto de este fallo, aunado a que el actor pretende la nulidad de los actos impugnados, lo que en la e</w:t>
      </w:r>
      <w:r w:rsidR="0042303A">
        <w:rPr>
          <w:rFonts w:ascii="Calibri" w:hAnsi="Calibri" w:cs="Arial"/>
          <w:color w:val="7F7F7F" w:themeColor="text1" w:themeTint="80"/>
          <w:sz w:val="26"/>
          <w:szCs w:val="26"/>
        </w:rPr>
        <w:t>specie ya se dio. . . . . . . . . . . . . . . . . . . . . . . . . .</w:t>
      </w:r>
    </w:p>
    <w:p w:rsidR="00CD035B" w:rsidRPr="002D241B" w:rsidRDefault="00CD035B" w:rsidP="002D241B">
      <w:pPr>
        <w:pStyle w:val="Textoindependiente"/>
        <w:ind w:firstLine="708"/>
        <w:rPr>
          <w:rFonts w:ascii="Calibri" w:hAnsi="Calibri" w:cs="Arial"/>
          <w:color w:val="7F7F7F" w:themeColor="text1" w:themeTint="80"/>
          <w:sz w:val="26"/>
          <w:szCs w:val="26"/>
        </w:rPr>
      </w:pPr>
    </w:p>
    <w:p w:rsidR="00CD035B" w:rsidRPr="002D241B" w:rsidRDefault="00CD035B" w:rsidP="00CD035B">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c).- De igual manera tampoco opera la defensa de la </w:t>
      </w:r>
      <w:r w:rsidRPr="004372DE">
        <w:rPr>
          <w:rFonts w:ascii="Calibri" w:hAnsi="Calibri" w:cs="Arial"/>
          <w:i/>
          <w:color w:val="7F7F7F" w:themeColor="text1" w:themeTint="80"/>
          <w:sz w:val="26"/>
          <w:szCs w:val="26"/>
        </w:rPr>
        <w:t xml:space="preserve">“Non </w:t>
      </w:r>
      <w:proofErr w:type="spellStart"/>
      <w:r w:rsidRPr="004372DE">
        <w:rPr>
          <w:rFonts w:ascii="Calibri" w:hAnsi="Calibri" w:cs="Arial"/>
          <w:i/>
          <w:color w:val="7F7F7F" w:themeColor="text1" w:themeTint="80"/>
          <w:sz w:val="26"/>
          <w:szCs w:val="26"/>
        </w:rPr>
        <w:t>Mutati</w:t>
      </w:r>
      <w:proofErr w:type="spellEnd"/>
      <w:r w:rsidRPr="004372DE">
        <w:rPr>
          <w:rFonts w:ascii="Calibri" w:hAnsi="Calibri" w:cs="Arial"/>
          <w:i/>
          <w:color w:val="7F7F7F" w:themeColor="text1" w:themeTint="80"/>
          <w:sz w:val="26"/>
          <w:szCs w:val="26"/>
        </w:rPr>
        <w:t xml:space="preserve"> </w:t>
      </w:r>
      <w:proofErr w:type="spellStart"/>
      <w:r w:rsidRPr="004372DE">
        <w:rPr>
          <w:rFonts w:ascii="Calibri" w:hAnsi="Calibri" w:cs="Arial"/>
          <w:i/>
          <w:color w:val="7F7F7F" w:themeColor="text1" w:themeTint="80"/>
          <w:sz w:val="26"/>
          <w:szCs w:val="26"/>
        </w:rPr>
        <w:t>Libeli</w:t>
      </w:r>
      <w:proofErr w:type="spellEnd"/>
      <w:r w:rsidRPr="004372DE">
        <w:rPr>
          <w:rFonts w:ascii="Calibri" w:hAnsi="Calibri" w:cs="Arial"/>
          <w:i/>
          <w:color w:val="7F7F7F" w:themeColor="text1" w:themeTint="80"/>
          <w:sz w:val="26"/>
          <w:szCs w:val="26"/>
        </w:rPr>
        <w:t>”,</w:t>
      </w:r>
      <w:r w:rsidRPr="002D241B">
        <w:rPr>
          <w:rFonts w:ascii="Calibri" w:hAnsi="Calibri" w:cs="Arial"/>
          <w:color w:val="7F7F7F" w:themeColor="text1" w:themeTint="80"/>
          <w:sz w:val="26"/>
          <w:szCs w:val="26"/>
        </w:rPr>
        <w:t xml:space="preserve"> toda vez que los demandados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4372DE">
        <w:rPr>
          <w:rFonts w:ascii="Calibri" w:hAnsi="Calibri" w:cs="Arial"/>
          <w:color w:val="7F7F7F" w:themeColor="text1" w:themeTint="80"/>
          <w:sz w:val="26"/>
          <w:szCs w:val="26"/>
        </w:rPr>
        <w:t xml:space="preserve"> . . . . . . . . . . . . . . . . . . . . . .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AF6906">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AF6906" w:rsidRPr="00BF5CA7" w:rsidRDefault="00AF6906"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940B3A">
        <w:rPr>
          <w:rFonts w:ascii="Calibri" w:hAnsi="Calibri"/>
          <w:color w:val="7F7F7F" w:themeColor="text1" w:themeTint="80"/>
          <w:sz w:val="26"/>
          <w:szCs w:val="26"/>
        </w:rPr>
        <w:t>23 veintitrés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AF6906">
        <w:rPr>
          <w:rFonts w:ascii="Calibri" w:hAnsi="Calibri"/>
          <w:color w:val="7F7F7F" w:themeColor="text1" w:themeTint="80"/>
          <w:sz w:val="26"/>
          <w:szCs w:val="26"/>
        </w:rPr>
        <w:t xml:space="preserve">.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CD035B">
        <w:rPr>
          <w:rFonts w:ascii="Calibri" w:hAnsi="Calibri"/>
          <w:color w:val="7F7F7F" w:themeColor="text1" w:themeTint="80"/>
          <w:sz w:val="26"/>
          <w:szCs w:val="26"/>
        </w:rPr>
        <w:t>qu</w:t>
      </w:r>
      <w:r w:rsidR="004A41DC" w:rsidRPr="00CD035B">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B46EE2">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1726CB">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B46EE2">
        <w:rPr>
          <w:rFonts w:ascii="Calibri" w:hAnsi="Calibri" w:cs="Arial"/>
          <w:color w:val="7F7F7F" w:themeColor="text1" w:themeTint="80"/>
          <w:sz w:val="26"/>
          <w:szCs w:val="26"/>
        </w:rPr>
        <w:t xml:space="preserve"> </w:t>
      </w:r>
    </w:p>
    <w:p w:rsidR="004B3DFC" w:rsidRPr="00BF5CA7" w:rsidRDefault="004B3DFC" w:rsidP="004B3DFC">
      <w:pPr>
        <w:jc w:val="both"/>
        <w:rPr>
          <w:rFonts w:ascii="Calibri" w:hAnsi="Calibri" w:cs="Arial"/>
          <w:b/>
          <w:bCs/>
          <w:color w:val="7F7F7F" w:themeColor="text1" w:themeTint="80"/>
          <w:sz w:val="22"/>
          <w:szCs w:val="22"/>
        </w:rPr>
      </w:pPr>
    </w:p>
    <w:p w:rsidR="00B46EE2" w:rsidRDefault="00B46EE2" w:rsidP="00CD035B">
      <w:pPr>
        <w:ind w:firstLine="708"/>
        <w:jc w:val="both"/>
        <w:rPr>
          <w:rFonts w:ascii="Calibri" w:hAnsi="Calibri" w:cs="Arial"/>
          <w:b/>
          <w:bCs/>
          <w:i/>
          <w:iCs/>
          <w:color w:val="7F7F7F" w:themeColor="text1" w:themeTint="80"/>
          <w:sz w:val="26"/>
          <w:szCs w:val="26"/>
        </w:rPr>
      </w:pPr>
    </w:p>
    <w:p w:rsidR="00B46EE2" w:rsidRDefault="00B46EE2" w:rsidP="00B46EE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946/2015-JN</w:t>
      </w:r>
    </w:p>
    <w:p w:rsidR="00B46EE2" w:rsidRDefault="00B46EE2" w:rsidP="00CD035B">
      <w:pPr>
        <w:ind w:firstLine="708"/>
        <w:jc w:val="both"/>
        <w:rPr>
          <w:rFonts w:ascii="Calibri" w:hAnsi="Calibri" w:cs="Arial"/>
          <w:b/>
          <w:bCs/>
          <w:i/>
          <w:iCs/>
          <w:color w:val="7F7F7F" w:themeColor="text1" w:themeTint="80"/>
          <w:sz w:val="26"/>
          <w:szCs w:val="26"/>
        </w:rPr>
      </w:pPr>
    </w:p>
    <w:p w:rsidR="004B3DFC" w:rsidRPr="00CD035B" w:rsidRDefault="004B3DFC" w:rsidP="00CD035B">
      <w:pPr>
        <w:ind w:firstLine="708"/>
        <w:jc w:val="both"/>
        <w:rPr>
          <w:rFonts w:ascii="Calibri" w:hAnsi="Calibri"/>
          <w:bCs/>
          <w:color w:val="7F7F7F" w:themeColor="text1" w:themeTint="80"/>
          <w:sz w:val="26"/>
          <w:szCs w:val="26"/>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940B3A">
        <w:rPr>
          <w:rFonts w:ascii="Calibri" w:hAnsi="Calibri"/>
          <w:b/>
          <w:color w:val="7F7F7F" w:themeColor="text1" w:themeTint="80"/>
          <w:sz w:val="26"/>
          <w:szCs w:val="26"/>
        </w:rPr>
        <w:t xml:space="preserve">23 </w:t>
      </w:r>
      <w:r w:rsidR="00940B3A" w:rsidRPr="00AD7204">
        <w:rPr>
          <w:rFonts w:ascii="Calibri" w:hAnsi="Calibri"/>
          <w:color w:val="7F7F7F" w:themeColor="text1" w:themeTint="80"/>
          <w:sz w:val="26"/>
          <w:szCs w:val="26"/>
        </w:rPr>
        <w:t>veintitrés de</w:t>
      </w:r>
      <w:r w:rsidR="00940B3A">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940B3A">
        <w:rPr>
          <w:rFonts w:ascii="Calibri" w:hAnsi="Calibri"/>
          <w:b/>
          <w:color w:val="7F7F7F" w:themeColor="text1" w:themeTint="80"/>
          <w:sz w:val="26"/>
          <w:szCs w:val="26"/>
        </w:rPr>
        <w:t>0650</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misma fecha que la de la orden de visita de inspección y con el mismo número de </w:t>
      </w:r>
      <w:r w:rsidR="00CD035B" w:rsidRPr="00656D08">
        <w:rPr>
          <w:rFonts w:ascii="Calibri" w:hAnsi="Calibri"/>
          <w:bCs/>
          <w:color w:val="7F7F7F" w:themeColor="text1" w:themeTint="80"/>
          <w:sz w:val="26"/>
          <w:szCs w:val="26"/>
        </w:rPr>
        <w:t>expediente</w:t>
      </w:r>
      <w:r w:rsidR="00CD035B">
        <w:rPr>
          <w:rFonts w:ascii="Calibri" w:hAnsi="Calibri"/>
          <w:bCs/>
          <w:color w:val="7F7F7F" w:themeColor="text1" w:themeTint="80"/>
          <w:sz w:val="26"/>
          <w:szCs w:val="26"/>
        </w:rPr>
        <w:t xml:space="preserve">, así como de cualquier otro posterior, como lo </w:t>
      </w:r>
      <w:r w:rsidR="003D4E45">
        <w:rPr>
          <w:rFonts w:ascii="Calibri" w:hAnsi="Calibri"/>
          <w:bCs/>
          <w:color w:val="7F7F7F" w:themeColor="text1" w:themeTint="80"/>
          <w:sz w:val="26"/>
          <w:szCs w:val="26"/>
        </w:rPr>
        <w:t>es</w:t>
      </w:r>
      <w:r w:rsidR="00CD035B">
        <w:rPr>
          <w:rFonts w:ascii="Calibri" w:hAnsi="Calibri"/>
          <w:bCs/>
          <w:color w:val="7F7F7F" w:themeColor="text1" w:themeTint="80"/>
          <w:sz w:val="26"/>
          <w:szCs w:val="26"/>
        </w:rPr>
        <w:t xml:space="preserve"> la </w:t>
      </w:r>
      <w:r w:rsidR="00CD035B" w:rsidRPr="00FC2859">
        <w:rPr>
          <w:rFonts w:ascii="Calibri" w:hAnsi="Calibri"/>
          <w:b/>
          <w:bCs/>
          <w:color w:val="7F7F7F" w:themeColor="text1" w:themeTint="80"/>
          <w:sz w:val="26"/>
          <w:szCs w:val="26"/>
        </w:rPr>
        <w:t xml:space="preserve">resolución </w:t>
      </w:r>
      <w:r w:rsidR="00CD035B">
        <w:rPr>
          <w:rFonts w:ascii="Calibri" w:hAnsi="Calibri"/>
          <w:bCs/>
          <w:color w:val="7F7F7F" w:themeColor="text1" w:themeTint="80"/>
          <w:sz w:val="26"/>
          <w:szCs w:val="26"/>
        </w:rPr>
        <w:t xml:space="preserve">de fecha </w:t>
      </w:r>
      <w:r w:rsidR="00AD7204">
        <w:rPr>
          <w:rFonts w:ascii="Calibri" w:hAnsi="Calibri"/>
          <w:b/>
          <w:bCs/>
          <w:color w:val="7F7F7F" w:themeColor="text1" w:themeTint="80"/>
          <w:sz w:val="26"/>
          <w:szCs w:val="26"/>
        </w:rPr>
        <w:t>28</w:t>
      </w:r>
      <w:r w:rsidR="00CD035B">
        <w:rPr>
          <w:rFonts w:ascii="Calibri" w:hAnsi="Calibri"/>
          <w:bCs/>
          <w:color w:val="7F7F7F" w:themeColor="text1" w:themeTint="80"/>
          <w:sz w:val="26"/>
          <w:szCs w:val="26"/>
        </w:rPr>
        <w:t xml:space="preserve"> </w:t>
      </w:r>
      <w:r w:rsidR="00AD7204">
        <w:rPr>
          <w:rFonts w:ascii="Calibri" w:hAnsi="Calibri"/>
          <w:bCs/>
          <w:color w:val="7F7F7F" w:themeColor="text1" w:themeTint="80"/>
          <w:sz w:val="26"/>
          <w:szCs w:val="26"/>
        </w:rPr>
        <w:t>veintiocho</w:t>
      </w:r>
      <w:r w:rsidR="00CD035B">
        <w:rPr>
          <w:rFonts w:ascii="Calibri" w:hAnsi="Calibri"/>
          <w:bCs/>
          <w:color w:val="7F7F7F" w:themeColor="text1" w:themeTint="80"/>
          <w:sz w:val="26"/>
          <w:szCs w:val="26"/>
        </w:rPr>
        <w:t xml:space="preserve"> de </w:t>
      </w:r>
      <w:r w:rsidR="00AD7204">
        <w:rPr>
          <w:rFonts w:ascii="Calibri" w:hAnsi="Calibri"/>
          <w:b/>
          <w:bCs/>
          <w:color w:val="7F7F7F" w:themeColor="text1" w:themeTint="80"/>
          <w:sz w:val="26"/>
          <w:szCs w:val="26"/>
        </w:rPr>
        <w:t>septiembre</w:t>
      </w:r>
      <w:r w:rsidR="00CD035B">
        <w:rPr>
          <w:rFonts w:ascii="Calibri" w:hAnsi="Calibri"/>
          <w:bCs/>
          <w:color w:val="7F7F7F" w:themeColor="text1" w:themeTint="80"/>
          <w:sz w:val="26"/>
          <w:szCs w:val="26"/>
        </w:rPr>
        <w:t xml:space="preserve"> del mismo año </w:t>
      </w:r>
      <w:r w:rsidR="00CD035B" w:rsidRPr="00FC2859">
        <w:rPr>
          <w:rFonts w:ascii="Calibri" w:hAnsi="Calibri"/>
          <w:b/>
          <w:bCs/>
          <w:color w:val="7F7F7F" w:themeColor="text1" w:themeTint="80"/>
          <w:sz w:val="26"/>
          <w:szCs w:val="26"/>
        </w:rPr>
        <w:t>2015</w:t>
      </w:r>
      <w:r w:rsidR="00CD035B">
        <w:rPr>
          <w:rFonts w:ascii="Calibri" w:hAnsi="Calibri"/>
          <w:bCs/>
          <w:color w:val="7F7F7F" w:themeColor="text1" w:themeTint="80"/>
          <w:sz w:val="26"/>
          <w:szCs w:val="26"/>
        </w:rPr>
        <w:t xml:space="preserve"> dos mil quince;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 . . . . . . . . . . . . . . . .</w:t>
      </w:r>
      <w:r w:rsidR="00B46EE2">
        <w:rPr>
          <w:rFonts w:ascii="Calibri" w:hAnsi="Calibri" w:cs="Arial"/>
          <w:color w:val="7F7F7F" w:themeColor="text1" w:themeTint="80"/>
          <w:sz w:val="26"/>
          <w:szCs w:val="26"/>
        </w:rPr>
        <w:t xml:space="preserve">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940B3A">
        <w:rPr>
          <w:rFonts w:ascii="Calibri" w:hAnsi="Calibri"/>
          <w:color w:val="7F7F7F" w:themeColor="text1" w:themeTint="80"/>
          <w:sz w:val="26"/>
          <w:szCs w:val="26"/>
        </w:rPr>
        <w:t>23 veintitrés de septiembre</w:t>
      </w:r>
      <w:r w:rsidR="008E0AB6" w:rsidRPr="00BF5CA7">
        <w:rPr>
          <w:rFonts w:ascii="Calibri" w:hAnsi="Calibri"/>
          <w:color w:val="7F7F7F" w:themeColor="text1" w:themeTint="80"/>
          <w:sz w:val="26"/>
          <w:szCs w:val="26"/>
        </w:rPr>
        <w:t xml:space="preserve"> del año 2015 dos mil quince, sobre </w:t>
      </w:r>
      <w:r w:rsidR="008E0AB6" w:rsidRPr="00CD035B">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CD035B">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1726CB">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B46EE2">
        <w:rPr>
          <w:rFonts w:ascii="Calibri" w:hAnsi="Calibri" w:cs="Calibri"/>
          <w:color w:val="7F7F7F" w:themeColor="text1" w:themeTint="80"/>
          <w:sz w:val="26"/>
          <w:szCs w:val="26"/>
        </w:rPr>
        <w:t xml:space="preserve">.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B46EE2">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B46EE2">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5E" w:rsidRDefault="000C1B5E">
      <w:r>
        <w:separator/>
      </w:r>
    </w:p>
  </w:endnote>
  <w:endnote w:type="continuationSeparator" w:id="0">
    <w:p w:rsidR="000C1B5E" w:rsidRDefault="000C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5E" w:rsidRDefault="000C1B5E">
      <w:r>
        <w:separator/>
      </w:r>
    </w:p>
  </w:footnote>
  <w:footnote w:type="continuationSeparator" w:id="0">
    <w:p w:rsidR="000C1B5E" w:rsidRDefault="000C1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0C1B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26CB">
      <w:rPr>
        <w:rStyle w:val="Nmerodepgina"/>
        <w:noProof/>
      </w:rPr>
      <w:t>2</w:t>
    </w:r>
    <w:r>
      <w:rPr>
        <w:rStyle w:val="Nmerodepgina"/>
      </w:rPr>
      <w:fldChar w:fldCharType="end"/>
    </w:r>
  </w:p>
  <w:p w:rsidR="00A70119" w:rsidRDefault="000C1B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451A5"/>
    <w:rsid w:val="00074B0E"/>
    <w:rsid w:val="000909AE"/>
    <w:rsid w:val="000954F8"/>
    <w:rsid w:val="000A476C"/>
    <w:rsid w:val="000A4ED3"/>
    <w:rsid w:val="000B1937"/>
    <w:rsid w:val="000B4397"/>
    <w:rsid w:val="000C1B5E"/>
    <w:rsid w:val="000C6B3D"/>
    <w:rsid w:val="000D6D33"/>
    <w:rsid w:val="000E019D"/>
    <w:rsid w:val="000F12ED"/>
    <w:rsid w:val="00114938"/>
    <w:rsid w:val="00134594"/>
    <w:rsid w:val="001346DA"/>
    <w:rsid w:val="00140A1C"/>
    <w:rsid w:val="00151972"/>
    <w:rsid w:val="001726CB"/>
    <w:rsid w:val="00174340"/>
    <w:rsid w:val="0018462E"/>
    <w:rsid w:val="00193C54"/>
    <w:rsid w:val="001C1EB4"/>
    <w:rsid w:val="001C2561"/>
    <w:rsid w:val="001E492B"/>
    <w:rsid w:val="001E6959"/>
    <w:rsid w:val="001F1478"/>
    <w:rsid w:val="00202A4D"/>
    <w:rsid w:val="002258C5"/>
    <w:rsid w:val="00231AD0"/>
    <w:rsid w:val="00245DB1"/>
    <w:rsid w:val="00250663"/>
    <w:rsid w:val="00252666"/>
    <w:rsid w:val="002658C9"/>
    <w:rsid w:val="00267952"/>
    <w:rsid w:val="002802A8"/>
    <w:rsid w:val="00281593"/>
    <w:rsid w:val="002919BC"/>
    <w:rsid w:val="00295DA4"/>
    <w:rsid w:val="002974BB"/>
    <w:rsid w:val="002A4002"/>
    <w:rsid w:val="002D241B"/>
    <w:rsid w:val="00323B18"/>
    <w:rsid w:val="00326B5D"/>
    <w:rsid w:val="00343E70"/>
    <w:rsid w:val="00345365"/>
    <w:rsid w:val="00355D69"/>
    <w:rsid w:val="00363074"/>
    <w:rsid w:val="0038550B"/>
    <w:rsid w:val="003938B9"/>
    <w:rsid w:val="003C319B"/>
    <w:rsid w:val="003D0B6B"/>
    <w:rsid w:val="003D4E45"/>
    <w:rsid w:val="003F0CFE"/>
    <w:rsid w:val="0041005A"/>
    <w:rsid w:val="0041501E"/>
    <w:rsid w:val="0042303A"/>
    <w:rsid w:val="004328C1"/>
    <w:rsid w:val="00436BB1"/>
    <w:rsid w:val="00436D60"/>
    <w:rsid w:val="004372DE"/>
    <w:rsid w:val="00471843"/>
    <w:rsid w:val="0047616C"/>
    <w:rsid w:val="0047708E"/>
    <w:rsid w:val="0049794B"/>
    <w:rsid w:val="004A41DC"/>
    <w:rsid w:val="004B3DFC"/>
    <w:rsid w:val="004C212B"/>
    <w:rsid w:val="004E2B17"/>
    <w:rsid w:val="0051216A"/>
    <w:rsid w:val="00515225"/>
    <w:rsid w:val="00562A66"/>
    <w:rsid w:val="00562F72"/>
    <w:rsid w:val="00577C15"/>
    <w:rsid w:val="005820E3"/>
    <w:rsid w:val="005A1EAD"/>
    <w:rsid w:val="005B2F0D"/>
    <w:rsid w:val="005C1EF8"/>
    <w:rsid w:val="005C7650"/>
    <w:rsid w:val="005D15CD"/>
    <w:rsid w:val="006071F6"/>
    <w:rsid w:val="0064042F"/>
    <w:rsid w:val="0065370E"/>
    <w:rsid w:val="00656D08"/>
    <w:rsid w:val="00672113"/>
    <w:rsid w:val="00676CB0"/>
    <w:rsid w:val="00684D24"/>
    <w:rsid w:val="00685ED2"/>
    <w:rsid w:val="006A3F9B"/>
    <w:rsid w:val="006B0FF3"/>
    <w:rsid w:val="006D41F4"/>
    <w:rsid w:val="006E1F7A"/>
    <w:rsid w:val="006E5AA9"/>
    <w:rsid w:val="006F3DF8"/>
    <w:rsid w:val="006F6394"/>
    <w:rsid w:val="006F63DA"/>
    <w:rsid w:val="006F74D0"/>
    <w:rsid w:val="0070292F"/>
    <w:rsid w:val="00706056"/>
    <w:rsid w:val="00711C4D"/>
    <w:rsid w:val="00736742"/>
    <w:rsid w:val="00752135"/>
    <w:rsid w:val="00781737"/>
    <w:rsid w:val="00784CB8"/>
    <w:rsid w:val="007926D3"/>
    <w:rsid w:val="007B3DCF"/>
    <w:rsid w:val="007D6748"/>
    <w:rsid w:val="007D67C9"/>
    <w:rsid w:val="007E7F2F"/>
    <w:rsid w:val="0080464C"/>
    <w:rsid w:val="008063DD"/>
    <w:rsid w:val="00832B72"/>
    <w:rsid w:val="00833B37"/>
    <w:rsid w:val="00834317"/>
    <w:rsid w:val="00882A95"/>
    <w:rsid w:val="00893B62"/>
    <w:rsid w:val="008A53D5"/>
    <w:rsid w:val="008A5D63"/>
    <w:rsid w:val="008B535A"/>
    <w:rsid w:val="008B680B"/>
    <w:rsid w:val="008B6F66"/>
    <w:rsid w:val="008C282C"/>
    <w:rsid w:val="008C61C6"/>
    <w:rsid w:val="008E0AB6"/>
    <w:rsid w:val="008F0CF4"/>
    <w:rsid w:val="00920B03"/>
    <w:rsid w:val="00940B3A"/>
    <w:rsid w:val="009429E2"/>
    <w:rsid w:val="00942A73"/>
    <w:rsid w:val="009466BA"/>
    <w:rsid w:val="00951162"/>
    <w:rsid w:val="00951532"/>
    <w:rsid w:val="009661F2"/>
    <w:rsid w:val="009750F6"/>
    <w:rsid w:val="00981D66"/>
    <w:rsid w:val="0098360E"/>
    <w:rsid w:val="00992C9C"/>
    <w:rsid w:val="009964FC"/>
    <w:rsid w:val="009A23DB"/>
    <w:rsid w:val="009A50BE"/>
    <w:rsid w:val="009A69D8"/>
    <w:rsid w:val="009B4FBA"/>
    <w:rsid w:val="009D0812"/>
    <w:rsid w:val="009E10FA"/>
    <w:rsid w:val="009E15DC"/>
    <w:rsid w:val="009F5F32"/>
    <w:rsid w:val="00A02F6E"/>
    <w:rsid w:val="00A17A21"/>
    <w:rsid w:val="00A217CD"/>
    <w:rsid w:val="00A22410"/>
    <w:rsid w:val="00A2439F"/>
    <w:rsid w:val="00A32EE2"/>
    <w:rsid w:val="00A57007"/>
    <w:rsid w:val="00A8545F"/>
    <w:rsid w:val="00A97819"/>
    <w:rsid w:val="00A97A65"/>
    <w:rsid w:val="00AB7C8F"/>
    <w:rsid w:val="00AC206B"/>
    <w:rsid w:val="00AC308A"/>
    <w:rsid w:val="00AD7204"/>
    <w:rsid w:val="00AE1A6F"/>
    <w:rsid w:val="00AE3E7D"/>
    <w:rsid w:val="00AF6906"/>
    <w:rsid w:val="00B05B82"/>
    <w:rsid w:val="00B106D7"/>
    <w:rsid w:val="00B427DE"/>
    <w:rsid w:val="00B46EE2"/>
    <w:rsid w:val="00B62D66"/>
    <w:rsid w:val="00B65360"/>
    <w:rsid w:val="00B75A23"/>
    <w:rsid w:val="00B75DD6"/>
    <w:rsid w:val="00B936CB"/>
    <w:rsid w:val="00BB36E8"/>
    <w:rsid w:val="00BC5DA4"/>
    <w:rsid w:val="00BD2AAB"/>
    <w:rsid w:val="00BF0BF6"/>
    <w:rsid w:val="00BF6197"/>
    <w:rsid w:val="00C022E6"/>
    <w:rsid w:val="00C10076"/>
    <w:rsid w:val="00C10164"/>
    <w:rsid w:val="00C22DC8"/>
    <w:rsid w:val="00C464F2"/>
    <w:rsid w:val="00C46636"/>
    <w:rsid w:val="00C72228"/>
    <w:rsid w:val="00C73B77"/>
    <w:rsid w:val="00CA2C14"/>
    <w:rsid w:val="00CA30B5"/>
    <w:rsid w:val="00CD035B"/>
    <w:rsid w:val="00CE396D"/>
    <w:rsid w:val="00CF7B38"/>
    <w:rsid w:val="00D1202C"/>
    <w:rsid w:val="00D14E8F"/>
    <w:rsid w:val="00D30188"/>
    <w:rsid w:val="00D4766E"/>
    <w:rsid w:val="00D61484"/>
    <w:rsid w:val="00D62C38"/>
    <w:rsid w:val="00D77803"/>
    <w:rsid w:val="00D77B11"/>
    <w:rsid w:val="00DB641E"/>
    <w:rsid w:val="00DE0314"/>
    <w:rsid w:val="00DF3DD6"/>
    <w:rsid w:val="00E0072D"/>
    <w:rsid w:val="00E04A70"/>
    <w:rsid w:val="00E16C1B"/>
    <w:rsid w:val="00E31BEB"/>
    <w:rsid w:val="00E50512"/>
    <w:rsid w:val="00E54AA9"/>
    <w:rsid w:val="00E77635"/>
    <w:rsid w:val="00E83986"/>
    <w:rsid w:val="00E950DE"/>
    <w:rsid w:val="00E959B2"/>
    <w:rsid w:val="00EA36B8"/>
    <w:rsid w:val="00EA4780"/>
    <w:rsid w:val="00EA47B6"/>
    <w:rsid w:val="00EB4713"/>
    <w:rsid w:val="00EC55B2"/>
    <w:rsid w:val="00EC7D6A"/>
    <w:rsid w:val="00EE4879"/>
    <w:rsid w:val="00F52045"/>
    <w:rsid w:val="00F5260B"/>
    <w:rsid w:val="00F54858"/>
    <w:rsid w:val="00F92536"/>
    <w:rsid w:val="00F95EF2"/>
    <w:rsid w:val="00FA04C4"/>
    <w:rsid w:val="00FA5C47"/>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611744029">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891573107">
      <w:bodyDiv w:val="1"/>
      <w:marLeft w:val="0"/>
      <w:marRight w:val="0"/>
      <w:marTop w:val="0"/>
      <w:marBottom w:val="0"/>
      <w:divBdr>
        <w:top w:val="none" w:sz="0" w:space="0" w:color="auto"/>
        <w:left w:val="none" w:sz="0" w:space="0" w:color="auto"/>
        <w:bottom w:val="none" w:sz="0" w:space="0" w:color="auto"/>
        <w:right w:val="none" w:sz="0" w:space="0" w:color="auto"/>
      </w:divBdr>
    </w:div>
    <w:div w:id="1647516091">
      <w:bodyDiv w:val="1"/>
      <w:marLeft w:val="0"/>
      <w:marRight w:val="0"/>
      <w:marTop w:val="0"/>
      <w:marBottom w:val="0"/>
      <w:divBdr>
        <w:top w:val="none" w:sz="0" w:space="0" w:color="auto"/>
        <w:left w:val="none" w:sz="0" w:space="0" w:color="auto"/>
        <w:bottom w:val="none" w:sz="0" w:space="0" w:color="auto"/>
        <w:right w:val="none" w:sz="0" w:space="0" w:color="auto"/>
      </w:divBdr>
    </w:div>
    <w:div w:id="1696077463">
      <w:bodyDiv w:val="1"/>
      <w:marLeft w:val="0"/>
      <w:marRight w:val="0"/>
      <w:marTop w:val="0"/>
      <w:marBottom w:val="0"/>
      <w:divBdr>
        <w:top w:val="none" w:sz="0" w:space="0" w:color="auto"/>
        <w:left w:val="none" w:sz="0" w:space="0" w:color="auto"/>
        <w:bottom w:val="none" w:sz="0" w:space="0" w:color="auto"/>
        <w:right w:val="none" w:sz="0" w:space="0" w:color="auto"/>
      </w:divBdr>
    </w:div>
    <w:div w:id="21102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4757</Words>
  <Characters>26166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2017-04-28T15:26:00Z</dcterms:created>
  <dcterms:modified xsi:type="dcterms:W3CDTF">2017-04-28T15:26:00Z</dcterms:modified>
</cp:coreProperties>
</file>